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DA017E" w:rsidRPr="00DA017E" w14:paraId="307588BC" w14:textId="77777777" w:rsidTr="00770A9E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F2EC62D" w14:textId="77777777" w:rsidR="00DA017E" w:rsidRPr="00DA017E" w:rsidRDefault="00DA017E" w:rsidP="00DA017E">
            <w:pPr>
              <w:contextualSpacing/>
              <w:jc w:val="right"/>
              <w:rPr>
                <w:rFonts w:ascii="PDF417x" w:eastAsia="Times New Roman" w:hAnsi="PDF417x" w:cs="Times New Roman"/>
                <w:noProof/>
                <w:sz w:val="24"/>
                <w:szCs w:val="24"/>
                <w:lang w:eastAsia="en-US"/>
              </w:rPr>
            </w:pP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t>+*xfs*pvs*Akl*cvA*xBj*qkc*uaj*ktB*ctk*Cgs*pBk*-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+*yqw*zio*wEo*oiC*xaD*mDo*yCn*xCc*sra*pwa*zew*-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+*eDs*lyd*lyd*lyd*lyd*baw*gkw*jkt*Aoj*bAq*zfE*-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+*ftw*mBg*lsu*vvE*toD*cvA*Eib*uEw*FAk*AnD*onA*-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+*ftA*ysm*xtu*dzb*trE*EzD*xib*yEf*mic*mDo*uws*-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  <w:t>+*xjq*vyd*bmC*jck*Ecj*rcb*ydu*Dtn*ads*rtE*uzq*-</w:t>
            </w:r>
            <w:r w:rsidRPr="00DA017E">
              <w:rPr>
                <w:rFonts w:ascii="PDF417x" w:eastAsia="Calibri" w:hAnsi="PDF417x" w:cs="Times New Roman"/>
                <w:noProof/>
                <w:sz w:val="24"/>
                <w:szCs w:val="24"/>
                <w:lang w:eastAsia="en-US"/>
              </w:rPr>
              <w:br/>
            </w:r>
          </w:p>
        </w:tc>
      </w:tr>
    </w:tbl>
    <w:p w14:paraId="24ABB6E8" w14:textId="77777777" w:rsidR="00DA017E" w:rsidRDefault="00DA01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5275"/>
      </w:tblGrid>
      <w:tr w:rsidR="004E1E40" w14:paraId="2AF98E89" w14:textId="77777777" w:rsidTr="00DA017E">
        <w:trPr>
          <w:trHeight w:val="719"/>
        </w:trPr>
        <w:tc>
          <w:tcPr>
            <w:tcW w:w="9062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62AC5F2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750625F8" w14:textId="77777777" w:rsidR="007A781F" w:rsidRDefault="00ED13F6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POSTUPKU DONOŠENJA </w:t>
            </w:r>
          </w:p>
          <w:p w14:paraId="01F88E63" w14:textId="1DDAFC1A" w:rsidR="004E1E40" w:rsidRDefault="007A781F">
            <w:pPr>
              <w:ind w:firstLine="708"/>
              <w:jc w:val="center"/>
              <w:rPr>
                <w:b/>
                <w:bCs/>
              </w:rPr>
            </w:pPr>
            <w:r w:rsidRP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Odluke o gradskim porezima Grada Pregrade</w:t>
            </w:r>
          </w:p>
          <w:p w14:paraId="377B2BA8" w14:textId="77777777" w:rsidR="004E1E40" w:rsidRDefault="004E1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468EA6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2CDB2CC7" w14:textId="01B72BE3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Mjesto, datum: Pregrada, 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A7C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51AA27" w14:textId="77777777" w:rsidR="004E1E40" w:rsidRDefault="004E1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E40" w14:paraId="4321614F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DDD4B1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akta za koji je provedeno savjetovanje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335699C" w14:textId="6C7C4229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>Odluke o gradskim porezima Grada Pregrade</w:t>
            </w:r>
          </w:p>
        </w:tc>
      </w:tr>
      <w:tr w:rsidR="004E1E40" w14:paraId="6492F619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29EF3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tijela nadležnog za izradu nacrta / provedbu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E32F1B" w14:textId="20AAB5E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Upravni odjel za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financije i </w:t>
            </w:r>
            <w:r w:rsidR="00143618">
              <w:rPr>
                <w:rFonts w:ascii="Times New Roman" w:hAnsi="Times New Roman" w:cs="Times New Roman"/>
                <w:bCs/>
                <w:sz w:val="24"/>
                <w:szCs w:val="24"/>
              </w:rPr>
              <w:t>gospodarstvo</w:t>
            </w:r>
          </w:p>
        </w:tc>
      </w:tr>
      <w:tr w:rsidR="004E1E40" w14:paraId="67FD2005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F80E5F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4C44ED" w14:textId="5CE722A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o gradskim porezima Grada Pregrade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 dobivanje mišljenja, primjedbi i prijedloga te eventualno prihvaćanje zakonskih i stručno utemeljenih prijedloga</w:t>
            </w:r>
          </w:p>
        </w:tc>
      </w:tr>
      <w:tr w:rsidR="004E1E40" w14:paraId="360E88DA" w14:textId="77777777" w:rsidTr="00DA017E">
        <w:trPr>
          <w:trHeight w:val="525"/>
        </w:trPr>
        <w:tc>
          <w:tcPr>
            <w:tcW w:w="3787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C25D9E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Objava dokumenata za savjetovanje </w:t>
            </w:r>
          </w:p>
          <w:p w14:paraId="5F8E75A0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3657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BCF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Razdoblje provedbe savjetovanja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389DE8" w14:textId="6A93A3C0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C11">
              <w:rPr>
                <w:rFonts w:ascii="Times New Roman" w:hAnsi="Times New Roman" w:cs="Times New Roman"/>
                <w:bCs/>
                <w:sz w:val="24"/>
                <w:szCs w:val="24"/>
              </w:rPr>
              <w:t>https://www.pregrada.hr/index.php/savjetovanje-sa-zainteresiranom-javnoscu-u-postupku-donosenja-opcih-akata/javni-poziv-za-20</w:t>
            </w:r>
          </w:p>
        </w:tc>
      </w:tr>
      <w:tr w:rsidR="004E1E40" w14:paraId="0D1456F0" w14:textId="77777777" w:rsidTr="00DA017E">
        <w:trPr>
          <w:trHeight w:val="671"/>
        </w:trPr>
        <w:tc>
          <w:tcPr>
            <w:tcW w:w="3787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A4D62E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B98B6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252549" w14:textId="20CDC880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prosinca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siječnja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dana)</w:t>
            </w:r>
          </w:p>
        </w:tc>
      </w:tr>
      <w:tr w:rsidR="004E1E40" w14:paraId="60798F03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057DA8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osnovnih pokazatelja uključenosti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64BE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B7303A7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2706099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A7CD11" w14:textId="6861A26A" w:rsidR="004E1E40" w:rsidRDefault="007A7C1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5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zaprimljen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ih</w:t>
            </w:r>
          </w:p>
        </w:tc>
      </w:tr>
      <w:tr w:rsidR="004E1E40" w14:paraId="7AD8CA4A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0EE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javnošću 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E27DFA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4ABAC9B4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1E40" w14:paraId="3C86470A" w14:textId="77777777" w:rsidTr="00DA017E">
        <w:tc>
          <w:tcPr>
            <w:tcW w:w="378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D579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27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3D95F289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0660193D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Toc468978618"/>
    </w:p>
    <w:p w14:paraId="2FB4DB07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8437947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5F907B8C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4E09322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7679610E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ectPr w:rsidR="004E1E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8D50E5" w14:textId="77777777" w:rsidR="004E1E40" w:rsidRDefault="00ED13F6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Prilog 1. Pregled prihvaćenih i neprihvaćenih primjedbi</w:t>
      </w:r>
      <w:bookmarkEnd w:id="0"/>
    </w:p>
    <w:tbl>
      <w:tblPr>
        <w:tblW w:w="140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614"/>
        <w:gridCol w:w="1276"/>
        <w:gridCol w:w="5528"/>
        <w:gridCol w:w="4820"/>
      </w:tblGrid>
      <w:tr w:rsidR="004E1E40" w14:paraId="07BECD56" w14:textId="77777777">
        <w:tc>
          <w:tcPr>
            <w:tcW w:w="773" w:type="dxa"/>
            <w:vAlign w:val="center"/>
          </w:tcPr>
          <w:p w14:paraId="2D652FF1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1614" w:type="dxa"/>
            <w:vAlign w:val="center"/>
          </w:tcPr>
          <w:p w14:paraId="1DED06B9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Sudionik savjetovanja (ime i prezime pojedinca, naziv organizacije)</w:t>
            </w:r>
          </w:p>
        </w:tc>
        <w:tc>
          <w:tcPr>
            <w:tcW w:w="1276" w:type="dxa"/>
            <w:vAlign w:val="center"/>
          </w:tcPr>
          <w:p w14:paraId="29279657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Članak ili drugi dio nacrta na koji se odnosi prijedlog ili mišljenje</w:t>
            </w:r>
          </w:p>
        </w:tc>
        <w:tc>
          <w:tcPr>
            <w:tcW w:w="5528" w:type="dxa"/>
            <w:vAlign w:val="center"/>
          </w:tcPr>
          <w:p w14:paraId="6EBF44BF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Tekst zaprimljenog prijedloga ili mišljenja</w:t>
            </w:r>
          </w:p>
        </w:tc>
        <w:tc>
          <w:tcPr>
            <w:tcW w:w="4820" w:type="dxa"/>
            <w:vAlign w:val="center"/>
          </w:tcPr>
          <w:p w14:paraId="3ABD359E" w14:textId="77777777" w:rsidR="004E1E40" w:rsidRDefault="00ED13F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Status prijedloga ili mišljenja (prihvaćanje/neprihvaćanje s  obrazloženjem) </w:t>
            </w:r>
          </w:p>
        </w:tc>
      </w:tr>
      <w:tr w:rsidR="004E1E40" w14:paraId="0E1D477B" w14:textId="77777777">
        <w:trPr>
          <w:trHeight w:val="567"/>
        </w:trPr>
        <w:tc>
          <w:tcPr>
            <w:tcW w:w="773" w:type="dxa"/>
          </w:tcPr>
          <w:p w14:paraId="3DD8150A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4" w:type="dxa"/>
          </w:tcPr>
          <w:p w14:paraId="25ABEE56" w14:textId="72BCA25C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E31A94" w14:textId="49AD93D0" w:rsidR="004E1E40" w:rsidRDefault="007A7C1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455A30B5" w14:textId="230C7E16" w:rsidR="004E1E4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</w:tcPr>
          <w:p w14:paraId="0F320CAF" w14:textId="314DDE92" w:rsidR="00050620" w:rsidRDefault="007A7C1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390A500" w14:textId="77777777" w:rsidR="004E1E40" w:rsidRDefault="004E1E40">
      <w:pPr>
        <w:rPr>
          <w:rFonts w:ascii="Times New Roman" w:hAnsi="Times New Roman" w:cs="Times New Roman"/>
          <w:sz w:val="24"/>
          <w:szCs w:val="24"/>
        </w:rPr>
      </w:pPr>
    </w:p>
    <w:p w14:paraId="0F16F746" w14:textId="77777777" w:rsidR="004E1E40" w:rsidRDefault="00ED13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7CFED3D8" w14:textId="0113E684" w:rsidR="004E1E40" w:rsidRDefault="00ED13F6" w:rsidP="002C20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Vešligaj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sz w:val="24"/>
          <w:szCs w:val="24"/>
        </w:rPr>
        <w:t>. pol., v.r.</w:t>
      </w:r>
    </w:p>
    <w:p w14:paraId="437A2C75" w14:textId="77777777" w:rsidR="007A7C11" w:rsidRPr="007A7C11" w:rsidRDefault="007A7C11" w:rsidP="007A7C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C11">
        <w:rPr>
          <w:rFonts w:ascii="Times New Roman" w:hAnsi="Times New Roman" w:cs="Times New Roman"/>
          <w:sz w:val="24"/>
          <w:szCs w:val="24"/>
        </w:rPr>
        <w:t>KLASA: 410-01/24-01/11</w:t>
      </w:r>
    </w:p>
    <w:p w14:paraId="5711F230" w14:textId="341DB1C5" w:rsidR="004E1E40" w:rsidRDefault="007A7C11" w:rsidP="007A7C11">
      <w:pPr>
        <w:rPr>
          <w:rFonts w:ascii="Times New Roman" w:hAnsi="Times New Roman" w:cs="Times New Roman"/>
          <w:sz w:val="24"/>
          <w:szCs w:val="24"/>
        </w:rPr>
      </w:pPr>
      <w:r w:rsidRPr="007A7C11">
        <w:rPr>
          <w:rFonts w:ascii="Times New Roman" w:hAnsi="Times New Roman" w:cs="Times New Roman"/>
          <w:sz w:val="24"/>
          <w:szCs w:val="24"/>
        </w:rPr>
        <w:t>URBROJ: 2140-5-02-2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A7C11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D13F6">
        <w:rPr>
          <w:rFonts w:ascii="Times New Roman" w:hAnsi="Times New Roman" w:cs="Times New Roman"/>
          <w:sz w:val="24"/>
          <w:szCs w:val="24"/>
        </w:rPr>
        <w:br/>
        <w:t xml:space="preserve">Pregrada,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4DC5">
        <w:rPr>
          <w:rFonts w:ascii="Times New Roman" w:hAnsi="Times New Roman" w:cs="Times New Roman"/>
          <w:sz w:val="24"/>
          <w:szCs w:val="24"/>
        </w:rPr>
        <w:t>0</w:t>
      </w:r>
      <w:r w:rsidR="003F5D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siječnja</w:t>
      </w:r>
      <w:r w:rsidR="003F5DC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3F5DCE">
        <w:rPr>
          <w:rFonts w:ascii="Times New Roman" w:hAnsi="Times New Roman" w:cs="Times New Roman"/>
          <w:sz w:val="24"/>
          <w:szCs w:val="24"/>
        </w:rPr>
        <w:t>.</w:t>
      </w:r>
    </w:p>
    <w:sectPr w:rsidR="004E1E40" w:rsidSect="006F1E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268EF" w14:textId="77777777" w:rsidR="004E1E40" w:rsidRDefault="00ED13F6">
      <w:pPr>
        <w:spacing w:after="0" w:line="240" w:lineRule="auto"/>
      </w:pPr>
      <w:r>
        <w:separator/>
      </w:r>
    </w:p>
  </w:endnote>
  <w:endnote w:type="continuationSeparator" w:id="0">
    <w:p w14:paraId="2F53D8AA" w14:textId="77777777" w:rsidR="004E1E40" w:rsidRDefault="00ED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50ADB" w14:textId="77777777" w:rsidR="004E1E40" w:rsidRDefault="00ED13F6">
      <w:pPr>
        <w:spacing w:after="0" w:line="240" w:lineRule="auto"/>
      </w:pPr>
      <w:r>
        <w:separator/>
      </w:r>
    </w:p>
  </w:footnote>
  <w:footnote w:type="continuationSeparator" w:id="0">
    <w:p w14:paraId="6F7EAD21" w14:textId="77777777" w:rsidR="004E1E40" w:rsidRDefault="00ED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3386">
    <w:abstractNumId w:val="1"/>
  </w:num>
  <w:num w:numId="2" w16cid:durableId="702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050620"/>
    <w:rsid w:val="00122DE8"/>
    <w:rsid w:val="00143618"/>
    <w:rsid w:val="001F5D05"/>
    <w:rsid w:val="00254EC4"/>
    <w:rsid w:val="00262232"/>
    <w:rsid w:val="002C2057"/>
    <w:rsid w:val="003E4747"/>
    <w:rsid w:val="003F5DCE"/>
    <w:rsid w:val="004A1F63"/>
    <w:rsid w:val="004E1E40"/>
    <w:rsid w:val="00676E8C"/>
    <w:rsid w:val="006F1E15"/>
    <w:rsid w:val="007964E8"/>
    <w:rsid w:val="007A781F"/>
    <w:rsid w:val="007A7C11"/>
    <w:rsid w:val="007C4DC5"/>
    <w:rsid w:val="00972688"/>
    <w:rsid w:val="009D3C07"/>
    <w:rsid w:val="00A46104"/>
    <w:rsid w:val="00B0085E"/>
    <w:rsid w:val="00BB728A"/>
    <w:rsid w:val="00CA126E"/>
    <w:rsid w:val="00DA017E"/>
    <w:rsid w:val="00ED13F6"/>
    <w:rsid w:val="00E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AEA6BBB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eastAsiaTheme="minorEastAsia"/>
      <w:lang w:eastAsia="zh-C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eastAsiaTheme="minorEastAsia"/>
      <w:lang w:eastAsia="zh-CN"/>
    </w:rPr>
  </w:style>
  <w:style w:type="paragraph" w:styleId="Odlomakpopis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eastAsiaTheme="minorEastAsia"/>
      <w:lang w:eastAsia="zh-CN"/>
    </w:rPr>
  </w:style>
  <w:style w:type="table" w:customStyle="1" w:styleId="TableGrid1">
    <w:name w:val="Table Grid1"/>
    <w:basedOn w:val="Obinatablica"/>
    <w:next w:val="Reetkatablice"/>
    <w:uiPriority w:val="59"/>
    <w:rsid w:val="00DA017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DA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179F-FB6E-4E63-8E46-8C165E3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Grad Pregrada</cp:lastModifiedBy>
  <cp:revision>15</cp:revision>
  <cp:lastPrinted>2025-01-30T11:50:00Z</cp:lastPrinted>
  <dcterms:created xsi:type="dcterms:W3CDTF">2023-09-01T06:42:00Z</dcterms:created>
  <dcterms:modified xsi:type="dcterms:W3CDTF">2025-01-30T11:50:00Z</dcterms:modified>
</cp:coreProperties>
</file>